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4E2" w:rsidRPr="00021D09" w:rsidRDefault="004C54E2" w:rsidP="00FE2980">
      <w:pPr>
        <w:jc w:val="center"/>
        <w:rPr>
          <w:rFonts w:ascii="Times New Roman" w:hAnsi="Times New Roman"/>
          <w:b/>
          <w:color w:val="548DD4"/>
          <w:sz w:val="24"/>
          <w:szCs w:val="24"/>
        </w:rPr>
      </w:pPr>
      <w:r w:rsidRPr="00021D09">
        <w:rPr>
          <w:rFonts w:ascii="Times New Roman" w:hAnsi="Times New Roman"/>
          <w:b/>
          <w:color w:val="548DD4"/>
          <w:sz w:val="24"/>
          <w:szCs w:val="24"/>
        </w:rPr>
        <w:t>Aktualizacja Strategii Rozwoju Województwa Dolnośląskiego do roku 2020</w:t>
      </w:r>
    </w:p>
    <w:p w:rsidR="004C54E2" w:rsidRPr="00021D09" w:rsidRDefault="004C54E2" w:rsidP="00FE2980">
      <w:pPr>
        <w:jc w:val="center"/>
        <w:rPr>
          <w:rFonts w:ascii="Times New Roman" w:hAnsi="Times New Roman"/>
          <w:b/>
          <w:sz w:val="24"/>
          <w:szCs w:val="24"/>
        </w:rPr>
      </w:pPr>
      <w:r w:rsidRPr="00021D09">
        <w:rPr>
          <w:rFonts w:ascii="Times New Roman" w:hAnsi="Times New Roman"/>
          <w:b/>
          <w:sz w:val="24"/>
          <w:szCs w:val="24"/>
        </w:rPr>
        <w:t xml:space="preserve">Stanowisko przedstawicieli samorządów wchodzących w skład Subregionu I </w:t>
      </w:r>
    </w:p>
    <w:p w:rsidR="004C54E2" w:rsidRPr="00021D09" w:rsidRDefault="004C54E2" w:rsidP="00FE2980">
      <w:pPr>
        <w:jc w:val="center"/>
        <w:rPr>
          <w:rFonts w:ascii="Times New Roman" w:hAnsi="Times New Roman"/>
          <w:b/>
          <w:sz w:val="24"/>
          <w:szCs w:val="24"/>
        </w:rPr>
      </w:pPr>
      <w:r>
        <w:rPr>
          <w:rFonts w:ascii="Times New Roman" w:hAnsi="Times New Roman"/>
          <w:b/>
          <w:sz w:val="24"/>
          <w:szCs w:val="24"/>
        </w:rPr>
        <w:t xml:space="preserve">reprezentujących powiaty: </w:t>
      </w:r>
      <w:r w:rsidRPr="00021D09">
        <w:rPr>
          <w:rFonts w:ascii="Times New Roman" w:hAnsi="Times New Roman"/>
          <w:b/>
          <w:sz w:val="24"/>
          <w:szCs w:val="24"/>
        </w:rPr>
        <w:t>milicki, oleśnicki, oławski, strzeliński,</w:t>
      </w:r>
      <w:r>
        <w:rPr>
          <w:rFonts w:ascii="Times New Roman" w:hAnsi="Times New Roman"/>
          <w:b/>
          <w:sz w:val="24"/>
          <w:szCs w:val="24"/>
        </w:rPr>
        <w:t xml:space="preserve"> średzki,</w:t>
      </w:r>
      <w:r w:rsidRPr="00021D09">
        <w:rPr>
          <w:rFonts w:ascii="Times New Roman" w:hAnsi="Times New Roman"/>
          <w:b/>
          <w:sz w:val="24"/>
          <w:szCs w:val="24"/>
        </w:rPr>
        <w:t xml:space="preserve"> trzebnicki, </w:t>
      </w:r>
      <w:r>
        <w:rPr>
          <w:rFonts w:ascii="Times New Roman" w:hAnsi="Times New Roman"/>
          <w:b/>
          <w:sz w:val="24"/>
          <w:szCs w:val="24"/>
        </w:rPr>
        <w:t>wołowski, wrocławski oraz miasto Wrocław</w:t>
      </w:r>
    </w:p>
    <w:p w:rsidR="004C54E2" w:rsidRPr="00021D09" w:rsidRDefault="004C54E2" w:rsidP="002F2847">
      <w:pPr>
        <w:jc w:val="both"/>
        <w:rPr>
          <w:rFonts w:ascii="Times New Roman" w:hAnsi="Times New Roman"/>
          <w:sz w:val="24"/>
          <w:szCs w:val="24"/>
        </w:rPr>
      </w:pPr>
    </w:p>
    <w:p w:rsidR="004C54E2" w:rsidRPr="00021D09" w:rsidRDefault="004C54E2" w:rsidP="00850D58">
      <w:pPr>
        <w:pStyle w:val="ListParagraph"/>
        <w:numPr>
          <w:ilvl w:val="0"/>
          <w:numId w:val="3"/>
        </w:numPr>
        <w:ind w:left="0" w:firstLine="0"/>
        <w:jc w:val="both"/>
        <w:rPr>
          <w:rFonts w:ascii="Times New Roman" w:hAnsi="Times New Roman"/>
          <w:color w:val="548DD4"/>
          <w:sz w:val="24"/>
          <w:szCs w:val="24"/>
        </w:rPr>
      </w:pPr>
      <w:r w:rsidRPr="00021D09">
        <w:rPr>
          <w:rFonts w:ascii="Times New Roman" w:hAnsi="Times New Roman"/>
          <w:color w:val="548DD4"/>
          <w:sz w:val="24"/>
          <w:szCs w:val="24"/>
        </w:rPr>
        <w:t>Wprowadzenie</w:t>
      </w:r>
    </w:p>
    <w:p w:rsidR="004C54E2" w:rsidRPr="00021D09" w:rsidRDefault="004C54E2" w:rsidP="002F2847">
      <w:pPr>
        <w:jc w:val="both"/>
        <w:rPr>
          <w:rFonts w:ascii="Times New Roman" w:hAnsi="Times New Roman"/>
          <w:sz w:val="24"/>
          <w:szCs w:val="24"/>
        </w:rPr>
      </w:pPr>
      <w:r w:rsidRPr="00021D09">
        <w:rPr>
          <w:rFonts w:ascii="Times New Roman" w:hAnsi="Times New Roman"/>
          <w:sz w:val="24"/>
          <w:szCs w:val="24"/>
        </w:rPr>
        <w:t xml:space="preserve">U podstaw decyzji związanej z utworzeniem Forum Subregionu I na potrzeby aktualizacji Strategii Rozwoju Województwa Dolnośląskiego leży daleko idące przekonanie samorządów wchodzących w skład Aglomeracji Wrocławskiej o potrzebie współpracy w celu zapewnienia zrównoważonego rozwoju tego obszaru. W obliczu postępujących zmian społeczno-gospodarczych, determinowanych takimi zjawiskami jak: migracja ludności </w:t>
      </w:r>
      <w:r>
        <w:rPr>
          <w:rFonts w:ascii="Times New Roman" w:hAnsi="Times New Roman"/>
          <w:sz w:val="24"/>
          <w:szCs w:val="24"/>
        </w:rPr>
        <w:t xml:space="preserve">z </w:t>
      </w:r>
      <w:r w:rsidRPr="00DD15C8">
        <w:rPr>
          <w:rFonts w:ascii="Times New Roman" w:hAnsi="Times New Roman"/>
          <w:sz w:val="24"/>
          <w:szCs w:val="24"/>
        </w:rPr>
        <w:t>Wrocławia</w:t>
      </w:r>
      <w:r w:rsidRPr="00021D09">
        <w:rPr>
          <w:rFonts w:ascii="Times New Roman" w:hAnsi="Times New Roman"/>
          <w:sz w:val="24"/>
          <w:szCs w:val="24"/>
        </w:rPr>
        <w:t xml:space="preserve"> do okolicznych gmin, przeniesienie funkcji  przemysłowych i turystycznych (turystyka weekendowa) poza miasto Wrocław, planowanie strategiczne nie może ograniczać się jedynie do granic administracyjnych danej jednostki samorządowej. </w:t>
      </w:r>
    </w:p>
    <w:p w:rsidR="004C54E2" w:rsidRPr="00021D09" w:rsidRDefault="004C54E2" w:rsidP="002F2847">
      <w:pPr>
        <w:jc w:val="both"/>
        <w:rPr>
          <w:rFonts w:ascii="Times New Roman" w:hAnsi="Times New Roman"/>
          <w:i/>
          <w:sz w:val="24"/>
          <w:szCs w:val="24"/>
        </w:rPr>
      </w:pPr>
      <w:r w:rsidRPr="00021D09">
        <w:rPr>
          <w:rFonts w:ascii="Times New Roman" w:hAnsi="Times New Roman"/>
          <w:sz w:val="24"/>
          <w:szCs w:val="24"/>
        </w:rPr>
        <w:t xml:space="preserve">Samorządowcy z Aglomeracji Wrocławskiej stoją na stanowisku, że dla osiągnięcia optymalnych efektów rozwojowych dla tego obszaru niezbędne jest wypracowanie skutecznych mechanizmów współpracy, opartej na synergii działań i celów, ustalenie wspólnych priorytetów oraz ram finansowych i czasowych dla ich realizacji. Pomocne w tym zakresie może być odwołanie się do zapisów aktualizowanej w 2011 r. </w:t>
      </w:r>
      <w:r w:rsidRPr="00021D09">
        <w:rPr>
          <w:rFonts w:ascii="Times New Roman" w:hAnsi="Times New Roman"/>
          <w:i/>
          <w:sz w:val="24"/>
          <w:szCs w:val="24"/>
        </w:rPr>
        <w:t>Strategii Gospodarczo-Przestrzennej Aglomeracji Wrocławskiej.</w:t>
      </w:r>
    </w:p>
    <w:p w:rsidR="004C54E2" w:rsidRDefault="004C54E2" w:rsidP="002F2847">
      <w:pPr>
        <w:jc w:val="both"/>
        <w:rPr>
          <w:rFonts w:ascii="Times New Roman" w:hAnsi="Times New Roman"/>
          <w:sz w:val="24"/>
          <w:szCs w:val="24"/>
        </w:rPr>
      </w:pPr>
      <w:r w:rsidRPr="00021D09">
        <w:rPr>
          <w:rFonts w:ascii="Times New Roman" w:hAnsi="Times New Roman"/>
          <w:sz w:val="24"/>
          <w:szCs w:val="24"/>
        </w:rPr>
        <w:t xml:space="preserve">W efekcie dyskusji przeprowadzonej podczas dwóch roboczych spotkań zorganizowanych w Starostwie Powiatowym we Wrocławiu, </w:t>
      </w:r>
      <w:r w:rsidRPr="00DD15C8">
        <w:rPr>
          <w:rFonts w:ascii="Times New Roman" w:hAnsi="Times New Roman"/>
          <w:sz w:val="24"/>
          <w:szCs w:val="24"/>
        </w:rPr>
        <w:t>przedstawiciele</w:t>
      </w:r>
      <w:r w:rsidRPr="00021D09">
        <w:rPr>
          <w:rFonts w:ascii="Times New Roman" w:hAnsi="Times New Roman"/>
          <w:sz w:val="24"/>
          <w:szCs w:val="24"/>
        </w:rPr>
        <w:t xml:space="preserve"> Forum Subregionu </w:t>
      </w:r>
      <w:r>
        <w:rPr>
          <w:rFonts w:ascii="Times New Roman" w:hAnsi="Times New Roman"/>
          <w:sz w:val="24"/>
          <w:szCs w:val="24"/>
        </w:rPr>
        <w:t>I</w:t>
      </w:r>
      <w:r w:rsidRPr="00021D09">
        <w:rPr>
          <w:rFonts w:ascii="Times New Roman" w:hAnsi="Times New Roman"/>
          <w:sz w:val="24"/>
          <w:szCs w:val="24"/>
        </w:rPr>
        <w:t xml:space="preserve"> nakreślili </w:t>
      </w:r>
      <w:r>
        <w:rPr>
          <w:rFonts w:ascii="Times New Roman" w:hAnsi="Times New Roman"/>
          <w:sz w:val="24"/>
          <w:szCs w:val="24"/>
        </w:rPr>
        <w:t>pięć</w:t>
      </w:r>
      <w:r w:rsidRPr="00021D09">
        <w:rPr>
          <w:rFonts w:ascii="Times New Roman" w:hAnsi="Times New Roman"/>
          <w:sz w:val="24"/>
          <w:szCs w:val="24"/>
        </w:rPr>
        <w:t xml:space="preserve"> wspóln</w:t>
      </w:r>
      <w:r>
        <w:rPr>
          <w:rFonts w:ascii="Times New Roman" w:hAnsi="Times New Roman"/>
          <w:sz w:val="24"/>
          <w:szCs w:val="24"/>
        </w:rPr>
        <w:t>ych</w:t>
      </w:r>
      <w:r w:rsidRPr="00021D09">
        <w:rPr>
          <w:rFonts w:ascii="Times New Roman" w:hAnsi="Times New Roman"/>
          <w:sz w:val="24"/>
          <w:szCs w:val="24"/>
        </w:rPr>
        <w:t xml:space="preserve"> </w:t>
      </w:r>
      <w:r w:rsidRPr="00021D09">
        <w:rPr>
          <w:rFonts w:ascii="Times New Roman" w:hAnsi="Times New Roman"/>
          <w:b/>
          <w:sz w:val="24"/>
          <w:szCs w:val="24"/>
        </w:rPr>
        <w:t>kierunk</w:t>
      </w:r>
      <w:r>
        <w:rPr>
          <w:rFonts w:ascii="Times New Roman" w:hAnsi="Times New Roman"/>
          <w:b/>
          <w:sz w:val="24"/>
          <w:szCs w:val="24"/>
        </w:rPr>
        <w:t xml:space="preserve">ów </w:t>
      </w:r>
      <w:r w:rsidRPr="00021D09">
        <w:rPr>
          <w:rFonts w:ascii="Times New Roman" w:hAnsi="Times New Roman"/>
          <w:b/>
          <w:sz w:val="24"/>
          <w:szCs w:val="24"/>
        </w:rPr>
        <w:t>rozwoju Aglomeracji Wrocławskiej na najbliższe lata planowania strategicznego</w:t>
      </w:r>
      <w:r w:rsidRPr="00021D09">
        <w:rPr>
          <w:rFonts w:ascii="Times New Roman" w:hAnsi="Times New Roman"/>
          <w:sz w:val="24"/>
          <w:szCs w:val="24"/>
        </w:rPr>
        <w:t>, bazując na wnikliwej analizie mocnych i słabych stron Subregionu, identyfikacji barier i najważniejszych potencjałów rozwojowych. Formułując ww. kierunki wzięto również pod uwagę propozycje poszczególnych gmin, przedstawione w</w:t>
      </w:r>
      <w:r>
        <w:rPr>
          <w:rFonts w:ascii="Times New Roman" w:hAnsi="Times New Roman"/>
          <w:sz w:val="24"/>
          <w:szCs w:val="24"/>
        </w:rPr>
        <w:t> </w:t>
      </w:r>
      <w:r w:rsidRPr="00021D09">
        <w:rPr>
          <w:rFonts w:ascii="Times New Roman" w:hAnsi="Times New Roman"/>
          <w:sz w:val="24"/>
          <w:szCs w:val="24"/>
        </w:rPr>
        <w:t>załączniku do niniejszego stanowiska.</w:t>
      </w:r>
    </w:p>
    <w:p w:rsidR="004C54E2" w:rsidRPr="00021D09" w:rsidRDefault="004C54E2" w:rsidP="002F2847">
      <w:pPr>
        <w:jc w:val="both"/>
        <w:rPr>
          <w:rFonts w:ascii="Times New Roman" w:hAnsi="Times New Roman"/>
          <w:sz w:val="24"/>
          <w:szCs w:val="24"/>
        </w:rPr>
      </w:pPr>
    </w:p>
    <w:p w:rsidR="004C54E2" w:rsidRPr="00021D09" w:rsidRDefault="004C54E2" w:rsidP="00FB27B8">
      <w:pPr>
        <w:pStyle w:val="ListParagraph"/>
        <w:numPr>
          <w:ilvl w:val="0"/>
          <w:numId w:val="3"/>
        </w:numPr>
        <w:ind w:left="0" w:firstLine="0"/>
        <w:jc w:val="both"/>
        <w:rPr>
          <w:rFonts w:ascii="Times New Roman" w:hAnsi="Times New Roman"/>
          <w:color w:val="548DD4"/>
          <w:sz w:val="24"/>
          <w:szCs w:val="24"/>
        </w:rPr>
      </w:pPr>
      <w:r w:rsidRPr="00021D09">
        <w:rPr>
          <w:rFonts w:ascii="Times New Roman" w:hAnsi="Times New Roman"/>
          <w:color w:val="548DD4"/>
          <w:sz w:val="24"/>
          <w:szCs w:val="24"/>
        </w:rPr>
        <w:t>Proponowane kierunki rozwoju Aglomeracji Wrocławskiej</w:t>
      </w:r>
    </w:p>
    <w:p w:rsidR="004C54E2" w:rsidRPr="00021D09" w:rsidRDefault="004C54E2" w:rsidP="00320002">
      <w:pPr>
        <w:pStyle w:val="ListParagraph"/>
        <w:ind w:left="0"/>
        <w:jc w:val="both"/>
        <w:rPr>
          <w:rFonts w:ascii="Times New Roman" w:hAnsi="Times New Roman"/>
          <w:color w:val="548DD4"/>
          <w:sz w:val="24"/>
          <w:szCs w:val="24"/>
        </w:rPr>
      </w:pPr>
    </w:p>
    <w:p w:rsidR="004C54E2" w:rsidRPr="00021D09" w:rsidRDefault="004C54E2" w:rsidP="00FB27B8">
      <w:pPr>
        <w:pStyle w:val="ListParagraph"/>
        <w:numPr>
          <w:ilvl w:val="1"/>
          <w:numId w:val="3"/>
        </w:numPr>
        <w:ind w:left="0" w:firstLine="0"/>
        <w:rPr>
          <w:rFonts w:ascii="Times New Roman" w:hAnsi="Times New Roman"/>
          <w:b/>
          <w:sz w:val="24"/>
          <w:szCs w:val="24"/>
        </w:rPr>
      </w:pPr>
      <w:r w:rsidRPr="00021D09">
        <w:rPr>
          <w:rFonts w:ascii="Times New Roman" w:hAnsi="Times New Roman"/>
          <w:b/>
          <w:sz w:val="24"/>
          <w:szCs w:val="24"/>
        </w:rPr>
        <w:t xml:space="preserve">Budowa, przebudowa i modernizacja dróg tworzących </w:t>
      </w:r>
      <w:r w:rsidRPr="00B76710">
        <w:rPr>
          <w:rFonts w:ascii="Times New Roman" w:hAnsi="Times New Roman"/>
          <w:b/>
          <w:sz w:val="24"/>
          <w:szCs w:val="24"/>
        </w:rPr>
        <w:t>O</w:t>
      </w:r>
      <w:r w:rsidRPr="00021D09">
        <w:rPr>
          <w:rFonts w:ascii="Times New Roman" w:hAnsi="Times New Roman"/>
          <w:b/>
          <w:sz w:val="24"/>
          <w:szCs w:val="24"/>
        </w:rPr>
        <w:t>bwodnic</w:t>
      </w:r>
      <w:r w:rsidRPr="00B76710">
        <w:rPr>
          <w:rFonts w:ascii="Times New Roman" w:hAnsi="Times New Roman"/>
          <w:b/>
          <w:sz w:val="24"/>
          <w:szCs w:val="24"/>
        </w:rPr>
        <w:t>ę</w:t>
      </w:r>
      <w:r w:rsidRPr="00021D09">
        <w:rPr>
          <w:rFonts w:ascii="Times New Roman" w:hAnsi="Times New Roman"/>
          <w:b/>
          <w:sz w:val="24"/>
          <w:szCs w:val="24"/>
        </w:rPr>
        <w:t xml:space="preserve"> </w:t>
      </w:r>
      <w:r w:rsidRPr="00B76710">
        <w:rPr>
          <w:rFonts w:ascii="Times New Roman" w:hAnsi="Times New Roman"/>
          <w:b/>
          <w:sz w:val="24"/>
          <w:szCs w:val="24"/>
        </w:rPr>
        <w:t>A</w:t>
      </w:r>
      <w:r w:rsidRPr="00021D09">
        <w:rPr>
          <w:rFonts w:ascii="Times New Roman" w:hAnsi="Times New Roman"/>
          <w:b/>
          <w:sz w:val="24"/>
          <w:szCs w:val="24"/>
        </w:rPr>
        <w:t xml:space="preserve">glomeracji </w:t>
      </w:r>
      <w:bookmarkStart w:id="0" w:name="_GoBack"/>
      <w:r w:rsidRPr="00B76710">
        <w:rPr>
          <w:rFonts w:ascii="Times New Roman" w:hAnsi="Times New Roman"/>
          <w:b/>
          <w:sz w:val="24"/>
          <w:szCs w:val="24"/>
        </w:rPr>
        <w:t>W</w:t>
      </w:r>
      <w:bookmarkEnd w:id="0"/>
      <w:r w:rsidRPr="00021D09">
        <w:rPr>
          <w:rFonts w:ascii="Times New Roman" w:hAnsi="Times New Roman"/>
          <w:b/>
          <w:sz w:val="24"/>
          <w:szCs w:val="24"/>
        </w:rPr>
        <w:t>roc</w:t>
      </w:r>
      <w:r>
        <w:rPr>
          <w:rFonts w:ascii="Times New Roman" w:hAnsi="Times New Roman"/>
          <w:b/>
          <w:sz w:val="24"/>
          <w:szCs w:val="24"/>
        </w:rPr>
        <w:t xml:space="preserve">ławskiej </w:t>
      </w:r>
      <w:r w:rsidRPr="00B76710">
        <w:rPr>
          <w:rFonts w:ascii="Times New Roman" w:hAnsi="Times New Roman"/>
          <w:b/>
          <w:sz w:val="24"/>
          <w:szCs w:val="24"/>
        </w:rPr>
        <w:t>oraz modernizacja dróg wychodzących z Wrocławia i łączących się z tą</w:t>
      </w:r>
      <w:r>
        <w:rPr>
          <w:rFonts w:ascii="Times New Roman" w:hAnsi="Times New Roman"/>
          <w:b/>
          <w:sz w:val="24"/>
          <w:szCs w:val="24"/>
        </w:rPr>
        <w:t xml:space="preserve"> </w:t>
      </w:r>
      <w:r w:rsidRPr="00B76710">
        <w:rPr>
          <w:rFonts w:ascii="Times New Roman" w:hAnsi="Times New Roman"/>
          <w:b/>
          <w:sz w:val="24"/>
          <w:szCs w:val="24"/>
        </w:rPr>
        <w:t>obwodnicą</w:t>
      </w:r>
      <w:r>
        <w:rPr>
          <w:rFonts w:ascii="Times New Roman" w:hAnsi="Times New Roman"/>
          <w:b/>
          <w:sz w:val="24"/>
          <w:szCs w:val="24"/>
        </w:rPr>
        <w:t xml:space="preserve"> </w:t>
      </w:r>
      <w:r w:rsidRPr="00021D09">
        <w:rPr>
          <w:rFonts w:ascii="Times New Roman" w:hAnsi="Times New Roman"/>
          <w:b/>
          <w:sz w:val="24"/>
          <w:szCs w:val="24"/>
        </w:rPr>
        <w:t>(postulat gwi</w:t>
      </w:r>
      <w:r>
        <w:rPr>
          <w:rFonts w:ascii="Times New Roman" w:hAnsi="Times New Roman"/>
          <w:b/>
          <w:sz w:val="24"/>
          <w:szCs w:val="24"/>
        </w:rPr>
        <w:t>eź</w:t>
      </w:r>
      <w:r w:rsidRPr="00021D09">
        <w:rPr>
          <w:rFonts w:ascii="Times New Roman" w:hAnsi="Times New Roman"/>
          <w:b/>
          <w:sz w:val="24"/>
          <w:szCs w:val="24"/>
        </w:rPr>
        <w:t>dzistego układu drogowego w Aglomeracji Wrocławskiej)</w:t>
      </w:r>
    </w:p>
    <w:p w:rsidR="004C54E2" w:rsidRPr="00021D09" w:rsidRDefault="004C54E2" w:rsidP="00FE2980">
      <w:pPr>
        <w:pStyle w:val="ListParagraph"/>
        <w:ind w:left="0"/>
        <w:rPr>
          <w:rFonts w:ascii="Times New Roman" w:hAnsi="Times New Roman"/>
          <w:color w:val="548DD4"/>
          <w:sz w:val="24"/>
          <w:szCs w:val="24"/>
        </w:rPr>
      </w:pPr>
    </w:p>
    <w:p w:rsidR="004C54E2" w:rsidRPr="00021D09" w:rsidRDefault="004C54E2" w:rsidP="00850D58">
      <w:pPr>
        <w:pStyle w:val="ListParagraph"/>
        <w:ind w:left="0"/>
        <w:jc w:val="both"/>
        <w:rPr>
          <w:rFonts w:ascii="Times New Roman" w:hAnsi="Times New Roman"/>
          <w:sz w:val="24"/>
          <w:szCs w:val="24"/>
        </w:rPr>
      </w:pPr>
      <w:r w:rsidRPr="00021D09">
        <w:rPr>
          <w:rFonts w:ascii="Times New Roman" w:hAnsi="Times New Roman"/>
          <w:sz w:val="24"/>
          <w:szCs w:val="24"/>
        </w:rPr>
        <w:t>Intensywny rozwój gospodarczy naszego obszaru spowodował zwiększone natężenie ruchu samochodowego na lokalnych drogach. Liczba użytkowników dróg (firmy, mieszkańcy) ulega systematycznemu wzrostowi. Istotnym problemem jest również słaba jakość większości dróg lokalnych. Sytuację tę po</w:t>
      </w:r>
      <w:r>
        <w:rPr>
          <w:rFonts w:ascii="Times New Roman" w:hAnsi="Times New Roman"/>
          <w:sz w:val="24"/>
          <w:szCs w:val="24"/>
        </w:rPr>
        <w:t xml:space="preserve">tęguje zjawisko systematycznej </w:t>
      </w:r>
      <w:r w:rsidRPr="00021D09">
        <w:rPr>
          <w:rFonts w:ascii="Times New Roman" w:hAnsi="Times New Roman"/>
          <w:sz w:val="24"/>
          <w:szCs w:val="24"/>
        </w:rPr>
        <w:t>degradacji dróg przez ciężkie pojazdy wykorzystywane przy budowach. Wobec ograniczonej przepustowości obecnego układu komunikacyjnego zachodzi zatem konieczność kompleksowego rozwiązania problemu dostępności komunikacyjnej obszaru ujętego w Subregionie I.  Najbardziej optymalnym rozwiązaniem wydaje się opcja „gwi</w:t>
      </w:r>
      <w:r>
        <w:rPr>
          <w:rFonts w:ascii="Times New Roman" w:hAnsi="Times New Roman"/>
          <w:sz w:val="24"/>
          <w:szCs w:val="24"/>
        </w:rPr>
        <w:t>e</w:t>
      </w:r>
      <w:r w:rsidRPr="00021D09">
        <w:rPr>
          <w:rFonts w:ascii="Times New Roman" w:hAnsi="Times New Roman"/>
          <w:sz w:val="24"/>
          <w:szCs w:val="24"/>
        </w:rPr>
        <w:t>ździstego” układu drogowego.</w:t>
      </w:r>
    </w:p>
    <w:p w:rsidR="004C54E2" w:rsidRPr="00021D09" w:rsidRDefault="004C54E2" w:rsidP="00526BEF">
      <w:pPr>
        <w:pStyle w:val="ListParagraph"/>
        <w:rPr>
          <w:rFonts w:ascii="Times New Roman" w:hAnsi="Times New Roman"/>
          <w:sz w:val="24"/>
          <w:szCs w:val="24"/>
        </w:rPr>
      </w:pPr>
    </w:p>
    <w:p w:rsidR="004C54E2" w:rsidRPr="00021D09" w:rsidRDefault="004C54E2" w:rsidP="004D1306">
      <w:pPr>
        <w:pStyle w:val="ListParagraph"/>
        <w:numPr>
          <w:ilvl w:val="1"/>
          <w:numId w:val="3"/>
        </w:numPr>
        <w:ind w:left="0" w:firstLine="0"/>
        <w:rPr>
          <w:rFonts w:ascii="Times New Roman" w:hAnsi="Times New Roman"/>
          <w:b/>
          <w:sz w:val="24"/>
          <w:szCs w:val="24"/>
        </w:rPr>
      </w:pPr>
      <w:r w:rsidRPr="00021D09">
        <w:rPr>
          <w:rFonts w:ascii="Times New Roman" w:hAnsi="Times New Roman"/>
          <w:b/>
          <w:sz w:val="24"/>
          <w:szCs w:val="24"/>
        </w:rPr>
        <w:t>Stworzenie zintegrowanego systemu komunikacji zbiorowej w aglomeracji wrocławskiej</w:t>
      </w:r>
    </w:p>
    <w:p w:rsidR="004C54E2" w:rsidRPr="00021D09" w:rsidRDefault="004C54E2" w:rsidP="00A71A59">
      <w:pPr>
        <w:pStyle w:val="ListParagraph"/>
        <w:ind w:left="0"/>
        <w:rPr>
          <w:rFonts w:ascii="Times New Roman" w:hAnsi="Times New Roman"/>
          <w:color w:val="548DD4"/>
          <w:sz w:val="24"/>
          <w:szCs w:val="24"/>
        </w:rPr>
      </w:pPr>
    </w:p>
    <w:p w:rsidR="004C54E2" w:rsidRPr="00021D09" w:rsidRDefault="004C54E2" w:rsidP="00A71A59">
      <w:pPr>
        <w:pStyle w:val="ListParagraph"/>
        <w:ind w:left="0"/>
        <w:jc w:val="both"/>
        <w:rPr>
          <w:rFonts w:ascii="Times New Roman" w:hAnsi="Times New Roman"/>
          <w:sz w:val="24"/>
          <w:szCs w:val="24"/>
        </w:rPr>
      </w:pPr>
      <w:r w:rsidRPr="00021D09">
        <w:rPr>
          <w:rFonts w:ascii="Times New Roman" w:hAnsi="Times New Roman"/>
          <w:sz w:val="24"/>
          <w:szCs w:val="24"/>
        </w:rPr>
        <w:t xml:space="preserve">Biorąc pod uwagę potrzeby komunikacyjne </w:t>
      </w:r>
      <w:r>
        <w:rPr>
          <w:rFonts w:ascii="Times New Roman" w:hAnsi="Times New Roman"/>
          <w:sz w:val="24"/>
          <w:szCs w:val="24"/>
        </w:rPr>
        <w:t>mieszkańców</w:t>
      </w:r>
      <w:r w:rsidRPr="00021D09">
        <w:rPr>
          <w:rFonts w:ascii="Times New Roman" w:hAnsi="Times New Roman"/>
          <w:sz w:val="24"/>
          <w:szCs w:val="24"/>
        </w:rPr>
        <w:t xml:space="preserve"> za zasadny należy uznać postulat stworzenia wspólnego systemu komunikacji zbiorowej dla całej aglomeracji, opartego na jednolitym systemie taryfowym (a co za tym idzie również biletowym) dla różnych środków transportu, nie wyłączając pasażerskich przewozów kolejowych. Dla rozładowania ruchu samochodowego w</w:t>
      </w:r>
      <w:r>
        <w:rPr>
          <w:rFonts w:ascii="Times New Roman" w:hAnsi="Times New Roman"/>
          <w:sz w:val="24"/>
          <w:szCs w:val="24"/>
        </w:rPr>
        <w:t> </w:t>
      </w:r>
      <w:r w:rsidRPr="00021D09">
        <w:rPr>
          <w:rFonts w:ascii="Times New Roman" w:hAnsi="Times New Roman"/>
          <w:sz w:val="24"/>
          <w:szCs w:val="24"/>
        </w:rPr>
        <w:t>centrum aglomeracji równolegle następować powinno zastępowanie w jak najszerszym stopniu samochodowej komunikacji indywidualnej komunikacją zbiorową.</w:t>
      </w:r>
    </w:p>
    <w:p w:rsidR="004C54E2" w:rsidRPr="00021D09" w:rsidRDefault="004C54E2" w:rsidP="006A6616">
      <w:pPr>
        <w:pStyle w:val="ListParagraph"/>
        <w:ind w:left="0"/>
        <w:jc w:val="both"/>
        <w:rPr>
          <w:rFonts w:ascii="Times New Roman" w:hAnsi="Times New Roman"/>
          <w:color w:val="548DD4"/>
          <w:sz w:val="24"/>
          <w:szCs w:val="24"/>
        </w:rPr>
      </w:pPr>
    </w:p>
    <w:p w:rsidR="004C54E2" w:rsidRPr="00021D09" w:rsidRDefault="004C54E2" w:rsidP="006A6616">
      <w:pPr>
        <w:pStyle w:val="ListParagraph"/>
        <w:ind w:left="0"/>
        <w:jc w:val="both"/>
        <w:rPr>
          <w:rFonts w:ascii="Times New Roman" w:hAnsi="Times New Roman"/>
          <w:color w:val="548DD4"/>
          <w:sz w:val="24"/>
          <w:szCs w:val="24"/>
        </w:rPr>
      </w:pPr>
    </w:p>
    <w:p w:rsidR="004C54E2" w:rsidRPr="00021D09" w:rsidRDefault="004C54E2" w:rsidP="00F04D91">
      <w:pPr>
        <w:pStyle w:val="ListParagraph"/>
        <w:numPr>
          <w:ilvl w:val="1"/>
          <w:numId w:val="3"/>
        </w:numPr>
        <w:ind w:left="0" w:firstLine="0"/>
        <w:rPr>
          <w:rFonts w:ascii="Times New Roman" w:hAnsi="Times New Roman"/>
          <w:sz w:val="24"/>
          <w:szCs w:val="24"/>
        </w:rPr>
      </w:pPr>
      <w:r w:rsidRPr="00021D09">
        <w:rPr>
          <w:rFonts w:ascii="Times New Roman" w:hAnsi="Times New Roman"/>
          <w:b/>
          <w:sz w:val="24"/>
          <w:szCs w:val="24"/>
        </w:rPr>
        <w:t xml:space="preserve">Zagospodarowanie  przestrzenne rzeki Odry </w:t>
      </w:r>
    </w:p>
    <w:p w:rsidR="004C54E2" w:rsidRPr="00021D09" w:rsidRDefault="004C54E2" w:rsidP="00F04D91">
      <w:pPr>
        <w:pStyle w:val="ListParagraph"/>
        <w:ind w:left="0"/>
        <w:rPr>
          <w:rFonts w:ascii="Times New Roman" w:hAnsi="Times New Roman"/>
          <w:sz w:val="24"/>
          <w:szCs w:val="24"/>
        </w:rPr>
      </w:pPr>
    </w:p>
    <w:p w:rsidR="004C54E2" w:rsidRPr="00021D09" w:rsidRDefault="004C54E2" w:rsidP="00172884">
      <w:pPr>
        <w:pStyle w:val="ListParagraph"/>
        <w:ind w:left="0"/>
        <w:jc w:val="both"/>
        <w:rPr>
          <w:rFonts w:ascii="Times New Roman" w:hAnsi="Times New Roman"/>
          <w:sz w:val="24"/>
          <w:szCs w:val="24"/>
        </w:rPr>
      </w:pPr>
      <w:r w:rsidRPr="00021D09">
        <w:rPr>
          <w:rFonts w:ascii="Times New Roman" w:hAnsi="Times New Roman"/>
          <w:sz w:val="24"/>
          <w:szCs w:val="24"/>
        </w:rPr>
        <w:t xml:space="preserve">Rzeka Odra w analizie SWOT może występować jako mocna lub słaba strona Aglomeracji Wrocławskiej. Potencjał Odry należy wiązać przede wszystkim z jej </w:t>
      </w:r>
      <w:r w:rsidRPr="00021D09">
        <w:rPr>
          <w:rFonts w:ascii="Times New Roman" w:hAnsi="Times New Roman"/>
          <w:b/>
          <w:sz w:val="24"/>
          <w:szCs w:val="24"/>
        </w:rPr>
        <w:t>funkcją turystyczną, rekreacyjną i gospodarczą</w:t>
      </w:r>
      <w:r w:rsidRPr="00021D09">
        <w:rPr>
          <w:rFonts w:ascii="Times New Roman" w:hAnsi="Times New Roman"/>
          <w:sz w:val="24"/>
          <w:szCs w:val="24"/>
        </w:rPr>
        <w:t xml:space="preserve">. Obecnie stopień wykorzystania tego potencjału pozostawia wiele do życzenia. Nawet jeśli zauważalne są pojedyncze inicjatywy w tym zakresie (organizacja spływów kajakowych, tramwaje wodne, itp.) mają one najczęściej bardzo lokalny charakter. Z punktu widzenia  interesu społecznego i ekonomicznego zasadnym byłoby stworzenie wspólnej koncepcji zagospodarowania przestrzeni wokół całego pasma Odry. </w:t>
      </w:r>
    </w:p>
    <w:p w:rsidR="004C54E2" w:rsidRPr="00021D09" w:rsidRDefault="004C54E2" w:rsidP="00172884">
      <w:pPr>
        <w:pStyle w:val="ListParagraph"/>
        <w:ind w:left="0"/>
        <w:jc w:val="both"/>
        <w:rPr>
          <w:rFonts w:ascii="Times New Roman" w:hAnsi="Times New Roman"/>
          <w:sz w:val="24"/>
          <w:szCs w:val="24"/>
        </w:rPr>
      </w:pPr>
      <w:r w:rsidRPr="00021D09">
        <w:rPr>
          <w:rFonts w:ascii="Times New Roman" w:hAnsi="Times New Roman"/>
          <w:sz w:val="24"/>
          <w:szCs w:val="24"/>
        </w:rPr>
        <w:t xml:space="preserve">Doświadczenia ostatnich dwudziestu lat pokazały, że rzeka Odra stanowi również </w:t>
      </w:r>
      <w:r w:rsidRPr="00021D09">
        <w:rPr>
          <w:rFonts w:ascii="Times New Roman" w:hAnsi="Times New Roman"/>
          <w:b/>
          <w:sz w:val="24"/>
          <w:szCs w:val="24"/>
        </w:rPr>
        <w:t>duże zagrożenie powodziowe</w:t>
      </w:r>
      <w:r w:rsidRPr="00021D09">
        <w:rPr>
          <w:rFonts w:ascii="Times New Roman" w:hAnsi="Times New Roman"/>
          <w:sz w:val="24"/>
          <w:szCs w:val="24"/>
        </w:rPr>
        <w:t>. Stopień realizacji prac hydrotechnicznych na rzece (Program dla Odry 2006) nie jest satysfakcjonujący. Z uwagi na realne ryzyko wystąpienia powodzi w</w:t>
      </w:r>
      <w:r>
        <w:rPr>
          <w:rFonts w:ascii="Times New Roman" w:hAnsi="Times New Roman"/>
          <w:sz w:val="24"/>
          <w:szCs w:val="24"/>
        </w:rPr>
        <w:t> </w:t>
      </w:r>
      <w:r w:rsidRPr="00021D09">
        <w:rPr>
          <w:rFonts w:ascii="Times New Roman" w:hAnsi="Times New Roman"/>
          <w:sz w:val="24"/>
          <w:szCs w:val="24"/>
        </w:rPr>
        <w:t>przyszłości, zachodzi bezwzględna konieczność przyspieszenia prac związanych z</w:t>
      </w:r>
      <w:r>
        <w:rPr>
          <w:rFonts w:ascii="Times New Roman" w:hAnsi="Times New Roman"/>
          <w:sz w:val="24"/>
          <w:szCs w:val="24"/>
        </w:rPr>
        <w:t> </w:t>
      </w:r>
      <w:r w:rsidRPr="00021D09">
        <w:rPr>
          <w:rFonts w:ascii="Times New Roman" w:hAnsi="Times New Roman"/>
          <w:sz w:val="24"/>
          <w:szCs w:val="24"/>
        </w:rPr>
        <w:t>prewencyjnym zagospodarowaniem przestrzennym Odry.</w:t>
      </w:r>
    </w:p>
    <w:p w:rsidR="004C54E2" w:rsidRPr="00021D09" w:rsidRDefault="004C54E2" w:rsidP="00F04D91">
      <w:pPr>
        <w:ind w:left="360"/>
        <w:rPr>
          <w:rFonts w:ascii="Times New Roman" w:hAnsi="Times New Roman"/>
          <w:sz w:val="24"/>
          <w:szCs w:val="24"/>
        </w:rPr>
      </w:pPr>
    </w:p>
    <w:p w:rsidR="004C54E2" w:rsidRPr="00021D09" w:rsidRDefault="004C54E2" w:rsidP="00F04D91">
      <w:pPr>
        <w:ind w:left="360" w:hanging="360"/>
        <w:rPr>
          <w:rFonts w:ascii="Times New Roman" w:hAnsi="Times New Roman"/>
          <w:b/>
          <w:sz w:val="24"/>
          <w:szCs w:val="24"/>
        </w:rPr>
      </w:pPr>
      <w:r w:rsidRPr="00021D09">
        <w:rPr>
          <w:rFonts w:ascii="Times New Roman" w:hAnsi="Times New Roman"/>
          <w:sz w:val="24"/>
          <w:szCs w:val="24"/>
        </w:rPr>
        <w:t xml:space="preserve">2.4 </w:t>
      </w:r>
      <w:r w:rsidRPr="00021D09">
        <w:rPr>
          <w:rFonts w:ascii="Times New Roman" w:hAnsi="Times New Roman"/>
          <w:b/>
          <w:sz w:val="24"/>
          <w:szCs w:val="24"/>
        </w:rPr>
        <w:t xml:space="preserve">Konstrukcja sieci usług publicznych w aglomeracji wrocławskiej </w:t>
      </w:r>
    </w:p>
    <w:p w:rsidR="004C54E2" w:rsidRPr="00021D09" w:rsidRDefault="004C54E2" w:rsidP="00751891">
      <w:pPr>
        <w:jc w:val="both"/>
        <w:rPr>
          <w:rFonts w:ascii="Times New Roman" w:hAnsi="Times New Roman"/>
          <w:sz w:val="24"/>
          <w:szCs w:val="24"/>
        </w:rPr>
      </w:pPr>
      <w:r w:rsidRPr="00021D09">
        <w:rPr>
          <w:rFonts w:ascii="Times New Roman" w:hAnsi="Times New Roman"/>
          <w:sz w:val="24"/>
          <w:szCs w:val="24"/>
        </w:rPr>
        <w:t xml:space="preserve">Gwałtowne przemiany społeczno-gospodarcze ostatnich lat wymuszają na lokalnych włodarzach opracowanie elastycznych ofert w zakresie usług publicznych. W przypadku </w:t>
      </w:r>
      <w:r w:rsidRPr="00021D09">
        <w:rPr>
          <w:rFonts w:ascii="Times New Roman" w:hAnsi="Times New Roman"/>
          <w:b/>
          <w:sz w:val="24"/>
          <w:szCs w:val="24"/>
        </w:rPr>
        <w:t>oferty edukacyjnej</w:t>
      </w:r>
      <w:r w:rsidRPr="00021D09">
        <w:rPr>
          <w:rFonts w:ascii="Times New Roman" w:hAnsi="Times New Roman"/>
          <w:sz w:val="24"/>
          <w:szCs w:val="24"/>
        </w:rPr>
        <w:t xml:space="preserve"> samorządy muszą zmierzyć się z niżem demograficznym (na wszystkich szczeblach edukacji), a także z potrzebą ustawicznego dostosowywania oferty edukacyjnej do potrzeb rynku pracy (zwłaszcza w zakresie  szkolnictwa zawodowego). Komplementarność ofert poszczególnych samorządów w tym zakresie, wypracowana w efekcie współpracy aglomeracyjnej, mogłaby okazać się skutecznym sposobem na wypełnienie wszelkich luk w</w:t>
      </w:r>
      <w:r>
        <w:rPr>
          <w:rFonts w:ascii="Times New Roman" w:hAnsi="Times New Roman"/>
          <w:sz w:val="24"/>
          <w:szCs w:val="24"/>
        </w:rPr>
        <w:t> </w:t>
      </w:r>
      <w:r w:rsidRPr="00021D09">
        <w:rPr>
          <w:rFonts w:ascii="Times New Roman" w:hAnsi="Times New Roman"/>
          <w:sz w:val="24"/>
          <w:szCs w:val="24"/>
        </w:rPr>
        <w:t>ofercie edukacyjnej, przekładając się tym samym na korzystny bilans ekonomiczny związany z utrzymywaniem poszcze</w:t>
      </w:r>
      <w:r>
        <w:rPr>
          <w:rFonts w:ascii="Times New Roman" w:hAnsi="Times New Roman"/>
          <w:sz w:val="24"/>
          <w:szCs w:val="24"/>
        </w:rPr>
        <w:t>gólnych placówek.</w:t>
      </w:r>
      <w:r w:rsidRPr="00021D09">
        <w:rPr>
          <w:rFonts w:ascii="Times New Roman" w:hAnsi="Times New Roman"/>
          <w:sz w:val="24"/>
          <w:szCs w:val="24"/>
        </w:rPr>
        <w:t xml:space="preserve"> Podobny mechanizm współpracy sprawdziłby się także w organizacji </w:t>
      </w:r>
      <w:r w:rsidRPr="00021D09">
        <w:rPr>
          <w:rFonts w:ascii="Times New Roman" w:hAnsi="Times New Roman"/>
          <w:b/>
          <w:sz w:val="24"/>
          <w:szCs w:val="24"/>
        </w:rPr>
        <w:t>systemu opieki społecznej i wychowawczej</w:t>
      </w:r>
      <w:r w:rsidRPr="00021D09">
        <w:rPr>
          <w:rFonts w:ascii="Times New Roman" w:hAnsi="Times New Roman"/>
          <w:sz w:val="24"/>
          <w:szCs w:val="24"/>
        </w:rPr>
        <w:t xml:space="preserve">, którego rola będzie systematycznie wzrastać z uwagi na </w:t>
      </w:r>
      <w:r>
        <w:rPr>
          <w:rFonts w:ascii="Times New Roman" w:hAnsi="Times New Roman"/>
          <w:sz w:val="24"/>
          <w:szCs w:val="24"/>
        </w:rPr>
        <w:t xml:space="preserve">notowany </w:t>
      </w:r>
      <w:r w:rsidRPr="00021D09">
        <w:rPr>
          <w:rFonts w:ascii="Times New Roman" w:hAnsi="Times New Roman"/>
          <w:sz w:val="24"/>
          <w:szCs w:val="24"/>
        </w:rPr>
        <w:t>wzrost patologii społecznych  (placówki wychowawcze), czy chociażby postępujący proces starzenia się społeczeństwa (sieć domów opieki społecznej).</w:t>
      </w:r>
    </w:p>
    <w:p w:rsidR="004C54E2" w:rsidRPr="00021D09" w:rsidRDefault="004C54E2" w:rsidP="00751891">
      <w:pPr>
        <w:jc w:val="both"/>
        <w:rPr>
          <w:rFonts w:ascii="Times New Roman" w:hAnsi="Times New Roman"/>
          <w:sz w:val="24"/>
          <w:szCs w:val="24"/>
        </w:rPr>
      </w:pPr>
    </w:p>
    <w:p w:rsidR="004C54E2" w:rsidRPr="00021D09" w:rsidRDefault="004C54E2" w:rsidP="00021D09">
      <w:pPr>
        <w:pStyle w:val="ListParagraph"/>
        <w:ind w:left="0"/>
        <w:jc w:val="both"/>
        <w:rPr>
          <w:rFonts w:ascii="Times New Roman" w:hAnsi="Times New Roman"/>
          <w:b/>
          <w:sz w:val="24"/>
          <w:szCs w:val="24"/>
        </w:rPr>
      </w:pPr>
      <w:r w:rsidRPr="00021D09">
        <w:rPr>
          <w:rFonts w:ascii="Times New Roman" w:hAnsi="Times New Roman"/>
          <w:b/>
          <w:sz w:val="24"/>
          <w:szCs w:val="24"/>
        </w:rPr>
        <w:t xml:space="preserve">2.5. Stworzenie spójnej koncepcji rozwoju turystyki i rekreacji </w:t>
      </w:r>
    </w:p>
    <w:p w:rsidR="004C54E2" w:rsidRPr="00021D09"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r>
        <w:rPr>
          <w:rFonts w:ascii="Times New Roman" w:hAnsi="Times New Roman"/>
          <w:sz w:val="24"/>
          <w:szCs w:val="24"/>
        </w:rPr>
        <w:t xml:space="preserve">Wobec wzrostu zainteresowania aktywnymi formami spędzania wolnego czasu, działania samorządów powinny koncentrować się na stworzeniu wspólnej strategii rozwoju turystyki i rekreacji. Szansą na skuteczne działanie w tym zakresie jest opracowanie przemyślanej koncepcji produktów turystycznych i oferty rekreacyjnej, uwzględniającej atuty danego obszaru oraz jednolity system informacyjny i promocyjny charakterystyczny dla danego produktu (np. system oznakowania tras rowerowych, sieć certyfikowanych produktów lokalnych). Niezbędnym elementem warunkującym rozwój dla tego obszaru jest również zadbanie o odpowiednią  jakość bazy turystycznej (baza hotelowa, restauracyjna, itp.). </w:t>
      </w: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Pr="00237E8D" w:rsidRDefault="004C54E2" w:rsidP="00021D09">
      <w:pPr>
        <w:pStyle w:val="ListParagraph"/>
        <w:ind w:left="0"/>
        <w:jc w:val="both"/>
        <w:rPr>
          <w:rFonts w:ascii="Times New Roman" w:hAnsi="Times New Roman"/>
          <w:sz w:val="24"/>
          <w:szCs w:val="24"/>
          <w:u w:val="single"/>
        </w:rPr>
      </w:pPr>
      <w:r w:rsidRPr="00237E8D">
        <w:rPr>
          <w:rFonts w:ascii="Times New Roman" w:hAnsi="Times New Roman"/>
          <w:sz w:val="24"/>
          <w:szCs w:val="24"/>
          <w:u w:val="single"/>
        </w:rPr>
        <w:t>W załączeniu:</w:t>
      </w:r>
    </w:p>
    <w:p w:rsidR="004C54E2" w:rsidRDefault="004C54E2" w:rsidP="00021D09">
      <w:pPr>
        <w:pStyle w:val="ListParagraph"/>
        <w:ind w:left="0"/>
        <w:jc w:val="both"/>
        <w:rPr>
          <w:rFonts w:ascii="Times New Roman" w:hAnsi="Times New Roman"/>
          <w:sz w:val="24"/>
          <w:szCs w:val="24"/>
        </w:rPr>
      </w:pPr>
      <w:r>
        <w:rPr>
          <w:rFonts w:ascii="Times New Roman" w:hAnsi="Times New Roman"/>
          <w:sz w:val="24"/>
          <w:szCs w:val="24"/>
        </w:rPr>
        <w:t>wykaz uwag i wniosków zgłoszonych przez samorządy Subregionu I (powiaty, gminy, miasto Wrocław)</w:t>
      </w:r>
    </w:p>
    <w:p w:rsidR="004C54E2" w:rsidRPr="00021D09"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Default="004C54E2" w:rsidP="00021D09">
      <w:pPr>
        <w:pStyle w:val="ListParagraph"/>
        <w:ind w:left="0"/>
        <w:jc w:val="both"/>
        <w:rPr>
          <w:rFonts w:ascii="Times New Roman" w:hAnsi="Times New Roman"/>
          <w:sz w:val="24"/>
          <w:szCs w:val="24"/>
        </w:rPr>
      </w:pPr>
    </w:p>
    <w:p w:rsidR="004C54E2" w:rsidRPr="00237E8D" w:rsidRDefault="004C54E2" w:rsidP="00021D09">
      <w:pPr>
        <w:pStyle w:val="ListParagraph"/>
        <w:ind w:left="0"/>
        <w:jc w:val="both"/>
        <w:rPr>
          <w:rFonts w:ascii="Times New Roman" w:hAnsi="Times New Roman"/>
          <w:sz w:val="20"/>
          <w:szCs w:val="20"/>
        </w:rPr>
      </w:pPr>
      <w:r w:rsidRPr="00237E8D">
        <w:rPr>
          <w:rFonts w:ascii="Times New Roman" w:hAnsi="Times New Roman"/>
          <w:sz w:val="20"/>
          <w:szCs w:val="20"/>
        </w:rPr>
        <w:t>Opracowanie:</w:t>
      </w:r>
    </w:p>
    <w:p w:rsidR="004C54E2" w:rsidRPr="00021D09" w:rsidRDefault="004C54E2" w:rsidP="0064683F">
      <w:pPr>
        <w:pStyle w:val="ListParagraph"/>
        <w:ind w:left="0"/>
        <w:jc w:val="both"/>
        <w:rPr>
          <w:sz w:val="24"/>
          <w:szCs w:val="24"/>
        </w:rPr>
      </w:pPr>
      <w:r w:rsidRPr="00237E8D">
        <w:t>Joanna Brodowska</w:t>
      </w:r>
    </w:p>
    <w:sectPr w:rsidR="004C54E2" w:rsidRPr="00021D09" w:rsidSect="00A2549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4E2" w:rsidRDefault="004C54E2" w:rsidP="003962E6">
      <w:pPr>
        <w:spacing w:after="0" w:line="240" w:lineRule="auto"/>
      </w:pPr>
      <w:r>
        <w:separator/>
      </w:r>
    </w:p>
  </w:endnote>
  <w:endnote w:type="continuationSeparator" w:id="0">
    <w:p w:rsidR="004C54E2" w:rsidRDefault="004C54E2" w:rsidP="003962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4E2" w:rsidRDefault="004C54E2" w:rsidP="003962E6">
      <w:pPr>
        <w:spacing w:after="0" w:line="240" w:lineRule="auto"/>
      </w:pPr>
      <w:r>
        <w:separator/>
      </w:r>
    </w:p>
  </w:footnote>
  <w:footnote w:type="continuationSeparator" w:id="0">
    <w:p w:rsidR="004C54E2" w:rsidRDefault="004C54E2" w:rsidP="003962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F79F7"/>
    <w:multiLevelType w:val="hybridMultilevel"/>
    <w:tmpl w:val="6244665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63A16367"/>
    <w:multiLevelType w:val="multilevel"/>
    <w:tmpl w:val="D054AEC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
    <w:nsid w:val="68263B3F"/>
    <w:multiLevelType w:val="hybridMultilevel"/>
    <w:tmpl w:val="77D6A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77FE2869"/>
    <w:multiLevelType w:val="multilevel"/>
    <w:tmpl w:val="D054AEC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7267"/>
    <w:rsid w:val="00017195"/>
    <w:rsid w:val="00021D09"/>
    <w:rsid w:val="000356F9"/>
    <w:rsid w:val="00086DE4"/>
    <w:rsid w:val="000B0F2B"/>
    <w:rsid w:val="000E4174"/>
    <w:rsid w:val="00161F3F"/>
    <w:rsid w:val="00172884"/>
    <w:rsid w:val="00195A8B"/>
    <w:rsid w:val="0021296C"/>
    <w:rsid w:val="00237E8D"/>
    <w:rsid w:val="002F2847"/>
    <w:rsid w:val="002F6F20"/>
    <w:rsid w:val="00320002"/>
    <w:rsid w:val="003461FD"/>
    <w:rsid w:val="003962E6"/>
    <w:rsid w:val="003A7714"/>
    <w:rsid w:val="00402731"/>
    <w:rsid w:val="00486441"/>
    <w:rsid w:val="004C29ED"/>
    <w:rsid w:val="004C54E2"/>
    <w:rsid w:val="004D1306"/>
    <w:rsid w:val="004E3BE0"/>
    <w:rsid w:val="00526BEF"/>
    <w:rsid w:val="005731A3"/>
    <w:rsid w:val="005D0D58"/>
    <w:rsid w:val="005D7267"/>
    <w:rsid w:val="005E7A64"/>
    <w:rsid w:val="005F6EFE"/>
    <w:rsid w:val="0063777C"/>
    <w:rsid w:val="0064683F"/>
    <w:rsid w:val="0066051F"/>
    <w:rsid w:val="006A6616"/>
    <w:rsid w:val="006C54F6"/>
    <w:rsid w:val="006E6A8E"/>
    <w:rsid w:val="00706EA6"/>
    <w:rsid w:val="00711ECB"/>
    <w:rsid w:val="007512D5"/>
    <w:rsid w:val="00751891"/>
    <w:rsid w:val="007C1260"/>
    <w:rsid w:val="00850D58"/>
    <w:rsid w:val="00877555"/>
    <w:rsid w:val="00887ADF"/>
    <w:rsid w:val="008B0028"/>
    <w:rsid w:val="0090397A"/>
    <w:rsid w:val="00906C81"/>
    <w:rsid w:val="0097310B"/>
    <w:rsid w:val="00A2549F"/>
    <w:rsid w:val="00A34FCA"/>
    <w:rsid w:val="00A548B2"/>
    <w:rsid w:val="00A71A59"/>
    <w:rsid w:val="00B05D56"/>
    <w:rsid w:val="00B53C7E"/>
    <w:rsid w:val="00B76710"/>
    <w:rsid w:val="00BE142B"/>
    <w:rsid w:val="00C03A23"/>
    <w:rsid w:val="00CA5A49"/>
    <w:rsid w:val="00D253B0"/>
    <w:rsid w:val="00D43BFE"/>
    <w:rsid w:val="00D960D5"/>
    <w:rsid w:val="00D97CE5"/>
    <w:rsid w:val="00DC68E4"/>
    <w:rsid w:val="00DD15C8"/>
    <w:rsid w:val="00E41B8E"/>
    <w:rsid w:val="00E664DB"/>
    <w:rsid w:val="00F04D91"/>
    <w:rsid w:val="00F45B2A"/>
    <w:rsid w:val="00F852BE"/>
    <w:rsid w:val="00FB27B8"/>
    <w:rsid w:val="00FC2A62"/>
    <w:rsid w:val="00FE2980"/>
    <w:rsid w:val="00FE476B"/>
    <w:rsid w:val="00FE637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731"/>
    <w:pPr>
      <w:spacing w:after="200" w:line="276" w:lineRule="auto"/>
    </w:pPr>
    <w:rPr>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D7267"/>
    <w:pPr>
      <w:ind w:left="720"/>
      <w:contextualSpacing/>
    </w:pPr>
  </w:style>
  <w:style w:type="paragraph" w:styleId="EndnoteText">
    <w:name w:val="endnote text"/>
    <w:basedOn w:val="Normal"/>
    <w:link w:val="EndnoteTextChar"/>
    <w:uiPriority w:val="99"/>
    <w:semiHidden/>
    <w:rsid w:val="003962E6"/>
    <w:pPr>
      <w:spacing w:after="0" w:line="240" w:lineRule="auto"/>
    </w:pPr>
    <w:rPr>
      <w:sz w:val="20"/>
      <w:szCs w:val="20"/>
      <w:lang w:eastAsia="pl-PL"/>
    </w:rPr>
  </w:style>
  <w:style w:type="character" w:customStyle="1" w:styleId="EndnoteTextChar">
    <w:name w:val="Endnote Text Char"/>
    <w:basedOn w:val="DefaultParagraphFont"/>
    <w:link w:val="EndnoteText"/>
    <w:uiPriority w:val="99"/>
    <w:semiHidden/>
    <w:locked/>
    <w:rsid w:val="003962E6"/>
    <w:rPr>
      <w:rFonts w:cs="Times New Roman"/>
      <w:sz w:val="20"/>
    </w:rPr>
  </w:style>
  <w:style w:type="character" w:styleId="EndnoteReference">
    <w:name w:val="endnote reference"/>
    <w:basedOn w:val="DefaultParagraphFont"/>
    <w:uiPriority w:val="99"/>
    <w:semiHidden/>
    <w:rsid w:val="003962E6"/>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932</Words>
  <Characters>5594</Characters>
  <Application>Microsoft Office Outlook</Application>
  <DocSecurity>0</DocSecurity>
  <Lines>0</Lines>
  <Paragraphs>0</Paragraphs>
  <ScaleCrop>false</ScaleCrop>
  <Company>sp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Aktualizacja Strategii Rozwoju Województwa Dolnośląskiego do roku 2020</dc:title>
  <dc:subject/>
  <dc:creator>Prezentacja</dc:creator>
  <cp:keywords/>
  <dc:description/>
  <cp:lastModifiedBy>k.staron</cp:lastModifiedBy>
  <cp:revision>2</cp:revision>
  <cp:lastPrinted>2012-04-02T09:20:00Z</cp:lastPrinted>
  <dcterms:created xsi:type="dcterms:W3CDTF">2013-03-07T08:41:00Z</dcterms:created>
  <dcterms:modified xsi:type="dcterms:W3CDTF">2013-03-07T08:41:00Z</dcterms:modified>
</cp:coreProperties>
</file>